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428B" w14:textId="77777777" w:rsidR="004D7CB8" w:rsidRDefault="004D7CB8" w:rsidP="004D7CB8">
      <w:pPr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Individuare</w:t>
      </w:r>
      <w:r w:rsidRPr="0054225A">
        <w:rPr>
          <w:b/>
          <w:bCs/>
          <w:sz w:val="32"/>
          <w:szCs w:val="32"/>
          <w:lang w:val="it-IT"/>
        </w:rPr>
        <w:t xml:space="preserve"> i comp</w:t>
      </w:r>
      <w:r>
        <w:rPr>
          <w:b/>
          <w:bCs/>
          <w:sz w:val="32"/>
          <w:szCs w:val="32"/>
          <w:lang w:val="it-IT"/>
        </w:rPr>
        <w:t>ortamenti di ricerca di certezza</w:t>
      </w:r>
    </w:p>
    <w:p w14:paraId="517BAD81" w14:textId="77777777" w:rsidR="004D7CB8" w:rsidRPr="00FA313C" w:rsidRDefault="004D7CB8" w:rsidP="004D7CB8">
      <w:pPr>
        <w:jc w:val="center"/>
        <w:rPr>
          <w:b/>
          <w:bCs/>
          <w:sz w:val="32"/>
          <w:szCs w:val="32"/>
        </w:rPr>
      </w:pPr>
      <w:proofErr w:type="spellStart"/>
      <w:r w:rsidRPr="00FA313C">
        <w:rPr>
          <w:b/>
          <w:bCs/>
          <w:sz w:val="32"/>
          <w:szCs w:val="32"/>
        </w:rPr>
        <w:t>Materiale</w:t>
      </w:r>
      <w:proofErr w:type="spellEnd"/>
      <w:r w:rsidRPr="00FA313C">
        <w:rPr>
          <w:b/>
          <w:bCs/>
          <w:sz w:val="32"/>
          <w:szCs w:val="32"/>
        </w:rPr>
        <w:t xml:space="preserve"> di </w:t>
      </w:r>
      <w:proofErr w:type="spellStart"/>
      <w:r w:rsidRPr="00FA313C">
        <w:rPr>
          <w:b/>
          <w:bCs/>
          <w:sz w:val="32"/>
          <w:szCs w:val="32"/>
        </w:rPr>
        <w:t>approfondimento</w:t>
      </w:r>
      <w:proofErr w:type="spellEnd"/>
    </w:p>
    <w:p w14:paraId="046D0DEB" w14:textId="77777777" w:rsidR="00390697" w:rsidRDefault="00390697" w:rsidP="004D7CB8">
      <w:pPr>
        <w:spacing w:line="240" w:lineRule="auto"/>
        <w:ind w:left="567" w:right="543"/>
        <w:jc w:val="both"/>
        <w:rPr>
          <w:b/>
          <w:bCs/>
          <w:color w:val="4472C4" w:themeColor="accent1"/>
          <w:sz w:val="32"/>
          <w:szCs w:val="32"/>
        </w:rPr>
      </w:pPr>
    </w:p>
    <w:p w14:paraId="338E5346" w14:textId="2D7BE0D5" w:rsidR="004D7CB8" w:rsidRPr="00406DD9" w:rsidRDefault="004D7CB8" w:rsidP="004D7CB8">
      <w:pPr>
        <w:spacing w:line="240" w:lineRule="auto"/>
        <w:ind w:left="567" w:right="543"/>
        <w:jc w:val="both"/>
        <w:rPr>
          <w:lang w:val="it-IT"/>
        </w:rPr>
      </w:pPr>
      <w:r>
        <w:rPr>
          <w:sz w:val="24"/>
          <w:szCs w:val="24"/>
          <w:lang w:val="it-IT"/>
        </w:rPr>
        <w:t>Provare incertezza può essere fonte di disagio</w:t>
      </w:r>
      <w:r w:rsidRPr="005D4DDC"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 xml:space="preserve">L’incertezza è </w:t>
      </w:r>
      <w:r w:rsidRPr="00406DD9">
        <w:rPr>
          <w:sz w:val="24"/>
          <w:szCs w:val="24"/>
          <w:lang w:val="it-IT"/>
        </w:rPr>
        <w:t>semplicemente</w:t>
      </w:r>
      <w:r>
        <w:rPr>
          <w:sz w:val="24"/>
          <w:szCs w:val="24"/>
          <w:lang w:val="it-IT"/>
        </w:rPr>
        <w:t xml:space="preserve"> non sapere cosa accadrà.</w:t>
      </w:r>
      <w:r w:rsidRPr="00406DD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</w:t>
      </w:r>
      <w:r w:rsidRPr="00406DD9">
        <w:rPr>
          <w:sz w:val="24"/>
          <w:szCs w:val="24"/>
          <w:lang w:val="it-IT"/>
        </w:rPr>
        <w:t>uò riguardare sia le situazioni con esiti negativ</w:t>
      </w:r>
      <w:r>
        <w:rPr>
          <w:sz w:val="24"/>
          <w:szCs w:val="24"/>
          <w:lang w:val="it-IT"/>
        </w:rPr>
        <w:t>i</w:t>
      </w:r>
      <w:r w:rsidRPr="00406DD9">
        <w:rPr>
          <w:sz w:val="24"/>
          <w:szCs w:val="24"/>
          <w:lang w:val="it-IT"/>
        </w:rPr>
        <w:t>, sia quelle con esiti positivi o neutri</w:t>
      </w:r>
      <w:r>
        <w:rPr>
          <w:sz w:val="24"/>
          <w:szCs w:val="24"/>
          <w:lang w:val="it-IT"/>
        </w:rPr>
        <w:t xml:space="preserve">. </w:t>
      </w:r>
      <w:r w:rsidRPr="008D38A8">
        <w:rPr>
          <w:sz w:val="24"/>
          <w:szCs w:val="24"/>
          <w:lang w:val="it-IT"/>
        </w:rPr>
        <w:t>Infatti, alcune persone provano disagio sia per l’incertezza relativa alle situazioni con esiti positivi, sia per quella riguardante le situazioni con esiti negativi.</w:t>
      </w:r>
      <w:r>
        <w:rPr>
          <w:sz w:val="24"/>
          <w:szCs w:val="24"/>
          <w:lang w:val="it-IT"/>
        </w:rPr>
        <w:t xml:space="preserve"> Quando le persone provano quest</w:t>
      </w:r>
      <w:r w:rsidR="008D74E8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="008D74E8">
        <w:rPr>
          <w:sz w:val="24"/>
          <w:szCs w:val="24"/>
          <w:lang w:val="it-IT"/>
        </w:rPr>
        <w:t xml:space="preserve">emozioni </w:t>
      </w:r>
      <w:r>
        <w:rPr>
          <w:sz w:val="24"/>
          <w:szCs w:val="24"/>
          <w:lang w:val="it-IT"/>
        </w:rPr>
        <w:t>spiacevoli, potrebbero mettere in atto dei comportamenti per ridurl</w:t>
      </w:r>
      <w:r w:rsidR="008D74E8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. </w:t>
      </w:r>
      <w:r w:rsidRPr="00455BFB">
        <w:rPr>
          <w:sz w:val="24"/>
          <w:szCs w:val="24"/>
          <w:lang w:val="it-IT"/>
        </w:rPr>
        <w:t>Q</w:t>
      </w:r>
      <w:r>
        <w:rPr>
          <w:sz w:val="24"/>
          <w:szCs w:val="24"/>
          <w:lang w:val="it-IT"/>
        </w:rPr>
        <w:t>uesti</w:t>
      </w:r>
      <w:r w:rsidRPr="00455BFB">
        <w:rPr>
          <w:sz w:val="24"/>
          <w:szCs w:val="24"/>
          <w:lang w:val="it-IT"/>
        </w:rPr>
        <w:t xml:space="preserve"> possono includere qualsiasi azione </w:t>
      </w:r>
      <w:r>
        <w:rPr>
          <w:sz w:val="24"/>
          <w:szCs w:val="24"/>
          <w:lang w:val="it-IT"/>
        </w:rPr>
        <w:t>volta a respingere tal</w:t>
      </w:r>
      <w:r w:rsidRPr="00455BFB">
        <w:rPr>
          <w:sz w:val="24"/>
          <w:szCs w:val="24"/>
          <w:lang w:val="it-IT"/>
        </w:rPr>
        <w:t xml:space="preserve">i </w:t>
      </w:r>
      <w:r w:rsidR="008D74E8">
        <w:rPr>
          <w:sz w:val="24"/>
          <w:szCs w:val="24"/>
          <w:lang w:val="it-IT"/>
        </w:rPr>
        <w:t>emozioni</w:t>
      </w:r>
      <w:r w:rsidRPr="00455BFB">
        <w:rPr>
          <w:sz w:val="24"/>
          <w:szCs w:val="24"/>
          <w:lang w:val="it-IT"/>
        </w:rPr>
        <w:t xml:space="preserve">. </w:t>
      </w:r>
    </w:p>
    <w:p w14:paraId="6079FD2A" w14:textId="7B5511EF" w:rsidR="004D7CB8" w:rsidRPr="00C34B9E" w:rsidRDefault="004D7CB8" w:rsidP="004D7CB8">
      <w:pPr>
        <w:spacing w:line="240" w:lineRule="auto"/>
        <w:ind w:left="567" w:right="543"/>
        <w:jc w:val="both"/>
        <w:rPr>
          <w:sz w:val="24"/>
          <w:szCs w:val="24"/>
        </w:rPr>
      </w:pPr>
      <w:r w:rsidRPr="005D4DDC">
        <w:rPr>
          <w:sz w:val="24"/>
          <w:szCs w:val="24"/>
          <w:lang w:val="it-IT"/>
        </w:rPr>
        <w:t>A volte, quando le person</w:t>
      </w:r>
      <w:r>
        <w:rPr>
          <w:sz w:val="24"/>
          <w:szCs w:val="24"/>
          <w:lang w:val="it-IT"/>
        </w:rPr>
        <w:t xml:space="preserve">e provano </w:t>
      </w:r>
      <w:r w:rsidR="008D74E8">
        <w:rPr>
          <w:sz w:val="24"/>
          <w:szCs w:val="24"/>
          <w:lang w:val="it-IT"/>
        </w:rPr>
        <w:t xml:space="preserve">emozioni </w:t>
      </w:r>
      <w:r>
        <w:rPr>
          <w:sz w:val="24"/>
          <w:szCs w:val="24"/>
          <w:lang w:val="it-IT"/>
        </w:rPr>
        <w:t>spiacevoli associat</w:t>
      </w:r>
      <w:r w:rsidR="008D74E8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alla sensazione di non sapere cosa</w:t>
      </w:r>
      <w:r w:rsidRPr="005D4DDC">
        <w:rPr>
          <w:sz w:val="24"/>
          <w:szCs w:val="24"/>
          <w:lang w:val="it-IT"/>
        </w:rPr>
        <w:t xml:space="preserve"> accadr</w:t>
      </w:r>
      <w:r>
        <w:rPr>
          <w:sz w:val="24"/>
          <w:szCs w:val="24"/>
          <w:lang w:val="it-IT"/>
        </w:rPr>
        <w:t>à</w:t>
      </w:r>
      <w:r w:rsidRPr="005D4DDC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si sentono decisamente coinvolte nella situazione e cercano e trovano quante più informazioni possibili, pianificano in modo dettagliato, controllano le cose e cercano rassicurazioni; oppure, prestano molta attenzione nel monitorare ciò che succede. </w:t>
      </w:r>
      <w:proofErr w:type="spellStart"/>
      <w:r w:rsidRPr="00C34B9E">
        <w:rPr>
          <w:sz w:val="24"/>
          <w:szCs w:val="24"/>
        </w:rPr>
        <w:t>Questi</w:t>
      </w:r>
      <w:proofErr w:type="spellEnd"/>
      <w:r w:rsidRPr="00C34B9E">
        <w:rPr>
          <w:sz w:val="24"/>
          <w:szCs w:val="24"/>
        </w:rPr>
        <w:t xml:space="preserve"> </w:t>
      </w:r>
      <w:proofErr w:type="spellStart"/>
      <w:r w:rsidRPr="00C34B9E">
        <w:rPr>
          <w:sz w:val="24"/>
          <w:szCs w:val="24"/>
        </w:rPr>
        <w:t>comportamenti</w:t>
      </w:r>
      <w:proofErr w:type="spellEnd"/>
      <w:r w:rsidRPr="00C34B9E">
        <w:rPr>
          <w:sz w:val="24"/>
          <w:szCs w:val="24"/>
        </w:rPr>
        <w:t xml:space="preserve"> </w:t>
      </w:r>
      <w:proofErr w:type="spellStart"/>
      <w:r w:rsidRPr="00C34B9E">
        <w:rPr>
          <w:sz w:val="24"/>
          <w:szCs w:val="24"/>
        </w:rPr>
        <w:t>sono</w:t>
      </w:r>
      <w:proofErr w:type="spellEnd"/>
      <w:r w:rsidRPr="00C34B9E">
        <w:rPr>
          <w:sz w:val="24"/>
          <w:szCs w:val="24"/>
        </w:rPr>
        <w:t xml:space="preserve"> </w:t>
      </w:r>
      <w:proofErr w:type="spellStart"/>
      <w:r w:rsidRPr="00C34B9E">
        <w:rPr>
          <w:sz w:val="24"/>
          <w:szCs w:val="24"/>
        </w:rPr>
        <w:t>definiti</w:t>
      </w:r>
      <w:proofErr w:type="spellEnd"/>
      <w:r w:rsidRPr="00C34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 w:rsidRPr="00C34B9E">
        <w:rPr>
          <w:sz w:val="24"/>
          <w:szCs w:val="24"/>
        </w:rPr>
        <w:t>iper-coinvolgimento</w:t>
      </w:r>
      <w:proofErr w:type="spellEnd"/>
      <w:r w:rsidRPr="00C34B9E">
        <w:rPr>
          <w:sz w:val="24"/>
          <w:szCs w:val="24"/>
        </w:rPr>
        <w:t xml:space="preserve">. </w:t>
      </w:r>
    </w:p>
    <w:p w14:paraId="5E440206" w14:textId="375CB76F" w:rsidR="004D7CB8" w:rsidRPr="00B917C6" w:rsidRDefault="004D7CB8" w:rsidP="004D7CB8">
      <w:pPr>
        <w:spacing w:line="240" w:lineRule="auto"/>
        <w:ind w:left="567" w:right="54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altri casi</w:t>
      </w:r>
      <w:r w:rsidRPr="006E350A">
        <w:rPr>
          <w:sz w:val="24"/>
          <w:szCs w:val="24"/>
          <w:lang w:val="it-IT"/>
        </w:rPr>
        <w:t xml:space="preserve">, le persone ritengono </w:t>
      </w:r>
      <w:r>
        <w:rPr>
          <w:sz w:val="24"/>
          <w:szCs w:val="24"/>
          <w:lang w:val="it-IT"/>
        </w:rPr>
        <w:t>che essere coinvolte</w:t>
      </w:r>
      <w:r w:rsidRPr="006E350A">
        <w:rPr>
          <w:sz w:val="24"/>
          <w:szCs w:val="24"/>
          <w:lang w:val="it-IT"/>
        </w:rPr>
        <w:t xml:space="preserve"> nella situazione</w:t>
      </w:r>
      <w:r>
        <w:rPr>
          <w:sz w:val="24"/>
          <w:szCs w:val="24"/>
          <w:lang w:val="it-IT"/>
        </w:rPr>
        <w:t xml:space="preserve"> può essere fonte di disagio</w:t>
      </w:r>
      <w:r w:rsidRPr="006E350A">
        <w:rPr>
          <w:sz w:val="24"/>
          <w:szCs w:val="24"/>
          <w:lang w:val="it-IT"/>
        </w:rPr>
        <w:t>,</w:t>
      </w:r>
      <w:r w:rsidRPr="00B917C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pertanto</w:t>
      </w:r>
      <w:r w:rsidRPr="00B917C6">
        <w:rPr>
          <w:sz w:val="24"/>
          <w:szCs w:val="24"/>
          <w:lang w:val="it-IT"/>
        </w:rPr>
        <w:t xml:space="preserve"> cercano di ignorarl</w:t>
      </w:r>
      <w:r>
        <w:rPr>
          <w:sz w:val="24"/>
          <w:szCs w:val="24"/>
          <w:lang w:val="it-IT"/>
        </w:rPr>
        <w:t>a</w:t>
      </w:r>
      <w:r w:rsidRPr="00B917C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di procrastinare </w:t>
      </w:r>
      <w:r w:rsidRPr="00B917C6">
        <w:rPr>
          <w:sz w:val="24"/>
          <w:szCs w:val="24"/>
          <w:lang w:val="it-IT"/>
        </w:rPr>
        <w:t xml:space="preserve">fino a </w:t>
      </w:r>
      <w:r>
        <w:rPr>
          <w:sz w:val="24"/>
          <w:szCs w:val="24"/>
          <w:lang w:val="it-IT"/>
        </w:rPr>
        <w:t xml:space="preserve">quando è </w:t>
      </w:r>
      <w:r w:rsidRPr="00B917C6">
        <w:rPr>
          <w:sz w:val="24"/>
          <w:szCs w:val="24"/>
          <w:lang w:val="it-IT"/>
        </w:rPr>
        <w:t>troppo tardi,</w:t>
      </w:r>
      <w:r>
        <w:rPr>
          <w:sz w:val="24"/>
          <w:szCs w:val="24"/>
          <w:lang w:val="it-IT"/>
        </w:rPr>
        <w:t xml:space="preserve"> di</w:t>
      </w:r>
      <w:r w:rsidRPr="00B917C6">
        <w:rPr>
          <w:sz w:val="24"/>
          <w:szCs w:val="24"/>
          <w:lang w:val="it-IT"/>
        </w:rPr>
        <w:t xml:space="preserve"> convincere qualcun altro a </w:t>
      </w:r>
      <w:r>
        <w:rPr>
          <w:sz w:val="24"/>
          <w:szCs w:val="24"/>
          <w:lang w:val="it-IT"/>
        </w:rPr>
        <w:t>prendere una decisone,</w:t>
      </w:r>
      <w:r w:rsidRPr="00B917C6">
        <w:rPr>
          <w:sz w:val="24"/>
          <w:szCs w:val="24"/>
          <w:lang w:val="it-IT"/>
        </w:rPr>
        <w:t xml:space="preserve"> o</w:t>
      </w:r>
      <w:r>
        <w:rPr>
          <w:sz w:val="24"/>
          <w:szCs w:val="24"/>
          <w:lang w:val="it-IT"/>
        </w:rPr>
        <w:t>ppure</w:t>
      </w:r>
      <w:r w:rsidRPr="00B917C6">
        <w:rPr>
          <w:sz w:val="24"/>
          <w:szCs w:val="24"/>
          <w:lang w:val="it-IT"/>
        </w:rPr>
        <w:t xml:space="preserve"> semplicemente </w:t>
      </w:r>
      <w:r>
        <w:rPr>
          <w:sz w:val="24"/>
          <w:szCs w:val="24"/>
          <w:lang w:val="it-IT"/>
        </w:rPr>
        <w:t>prendono</w:t>
      </w:r>
      <w:r w:rsidRPr="00B917C6">
        <w:rPr>
          <w:sz w:val="24"/>
          <w:szCs w:val="24"/>
          <w:lang w:val="it-IT"/>
        </w:rPr>
        <w:t xml:space="preserve"> una decisione improvvisa (anche quando sanno che non è </w:t>
      </w:r>
      <w:r>
        <w:rPr>
          <w:sz w:val="24"/>
          <w:szCs w:val="24"/>
          <w:lang w:val="it-IT"/>
        </w:rPr>
        <w:t>la scelta giusta</w:t>
      </w:r>
      <w:r w:rsidRPr="00B917C6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, esclusivamente per</w:t>
      </w:r>
      <w:r w:rsidRPr="00B917C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allontanare </w:t>
      </w:r>
      <w:r w:rsidR="008D74E8">
        <w:rPr>
          <w:sz w:val="24"/>
          <w:szCs w:val="24"/>
          <w:lang w:val="it-IT"/>
        </w:rPr>
        <w:t>le emozioni</w:t>
      </w:r>
      <w:r w:rsidR="008D74E8" w:rsidRPr="00B917C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spiacevoli</w:t>
      </w:r>
      <w:r w:rsidRPr="00B917C6"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>Questi comportamenti sono definiti di disimpegno</w:t>
      </w:r>
      <w:r w:rsidRPr="00B917C6">
        <w:rPr>
          <w:sz w:val="24"/>
          <w:szCs w:val="24"/>
          <w:lang w:val="it-IT"/>
        </w:rPr>
        <w:t xml:space="preserve">. A volte le persone </w:t>
      </w:r>
      <w:r>
        <w:rPr>
          <w:sz w:val="24"/>
          <w:szCs w:val="24"/>
          <w:lang w:val="it-IT"/>
        </w:rPr>
        <w:t>alternano i due tipi di comportamento (“</w:t>
      </w:r>
      <w:r w:rsidRPr="008D38A8">
        <w:rPr>
          <w:i/>
          <w:iCs/>
          <w:sz w:val="24"/>
          <w:szCs w:val="24"/>
          <w:lang w:val="it-IT"/>
        </w:rPr>
        <w:t>flip-flop</w:t>
      </w:r>
      <w:r>
        <w:rPr>
          <w:sz w:val="24"/>
          <w:szCs w:val="24"/>
          <w:lang w:val="it-IT"/>
        </w:rPr>
        <w:t xml:space="preserve">”). </w:t>
      </w:r>
    </w:p>
    <w:p w14:paraId="332F03AD" w14:textId="4CB456C0" w:rsidR="004D7CB8" w:rsidRDefault="004D7CB8" w:rsidP="004D7CB8">
      <w:pPr>
        <w:spacing w:line="240" w:lineRule="auto"/>
        <w:ind w:left="567" w:right="54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seguente materiale</w:t>
      </w:r>
      <w:r w:rsidRPr="006E1703">
        <w:rPr>
          <w:sz w:val="24"/>
          <w:szCs w:val="24"/>
          <w:lang w:val="it-IT"/>
        </w:rPr>
        <w:t xml:space="preserve"> di approfondimento può aiutar</w:t>
      </w:r>
      <w:r>
        <w:rPr>
          <w:sz w:val="24"/>
          <w:szCs w:val="24"/>
          <w:lang w:val="it-IT"/>
        </w:rPr>
        <w:t>vi</w:t>
      </w:r>
      <w:r w:rsidRPr="006E1703">
        <w:rPr>
          <w:sz w:val="24"/>
          <w:szCs w:val="24"/>
          <w:lang w:val="it-IT"/>
        </w:rPr>
        <w:t xml:space="preserve"> a identificare </w:t>
      </w:r>
      <w:r>
        <w:rPr>
          <w:sz w:val="24"/>
          <w:szCs w:val="24"/>
          <w:lang w:val="it-IT"/>
        </w:rPr>
        <w:t>i</w:t>
      </w:r>
      <w:r w:rsidRPr="006E1703">
        <w:rPr>
          <w:sz w:val="24"/>
          <w:szCs w:val="24"/>
          <w:lang w:val="it-IT"/>
        </w:rPr>
        <w:t xml:space="preserve"> comportamenti </w:t>
      </w:r>
      <w:r>
        <w:rPr>
          <w:sz w:val="24"/>
          <w:szCs w:val="24"/>
          <w:lang w:val="it-IT"/>
        </w:rPr>
        <w:t>che solitamente si mettono in atto quando si provano quest</w:t>
      </w:r>
      <w:r w:rsidR="008D74E8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="008D74E8">
        <w:rPr>
          <w:sz w:val="24"/>
          <w:szCs w:val="24"/>
          <w:lang w:val="it-IT"/>
        </w:rPr>
        <w:t xml:space="preserve">emozioni </w:t>
      </w:r>
      <w:r>
        <w:rPr>
          <w:sz w:val="24"/>
          <w:szCs w:val="24"/>
          <w:lang w:val="it-IT"/>
        </w:rPr>
        <w:t xml:space="preserve">sgradevoli. Ricordate, questi comportamenti possono includere qualsiasi azione volta ad allontanare </w:t>
      </w:r>
      <w:r w:rsidR="008D74E8">
        <w:rPr>
          <w:sz w:val="24"/>
          <w:szCs w:val="24"/>
          <w:lang w:val="it-IT"/>
        </w:rPr>
        <w:t>le emozioni</w:t>
      </w:r>
      <w:r>
        <w:rPr>
          <w:sz w:val="24"/>
          <w:szCs w:val="24"/>
          <w:lang w:val="it-IT"/>
        </w:rPr>
        <w:t xml:space="preserve"> spiacevoli. Diventare più consapevoli di questi comportamenti è il primo passo per imparare a gestire diversamente l’incertezza. </w:t>
      </w:r>
    </w:p>
    <w:p w14:paraId="097C660A" w14:textId="5E694019" w:rsidR="6CBA9579" w:rsidRDefault="6CBA9579" w:rsidP="6CBA9579">
      <w:pPr>
        <w:spacing w:line="240" w:lineRule="auto"/>
        <w:jc w:val="both"/>
        <w:rPr>
          <w:sz w:val="32"/>
          <w:szCs w:val="32"/>
        </w:rPr>
      </w:pPr>
    </w:p>
    <w:p w14:paraId="0721ACB9" w14:textId="77777777" w:rsidR="00237B2D" w:rsidRDefault="00237B2D" w:rsidP="00237B2D">
      <w:pPr>
        <w:jc w:val="center"/>
        <w:rPr>
          <w:sz w:val="32"/>
          <w:szCs w:val="32"/>
        </w:rPr>
        <w:sectPr w:rsidR="00237B2D" w:rsidSect="00237B2D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E6459B" w14:textId="77777777" w:rsidR="004D7CB8" w:rsidRPr="00285771" w:rsidRDefault="004D7CB8" w:rsidP="004D7CB8">
      <w:pPr>
        <w:spacing w:line="24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lastRenderedPageBreak/>
        <w:t>Individuare</w:t>
      </w:r>
      <w:r w:rsidRPr="00285771">
        <w:rPr>
          <w:sz w:val="32"/>
          <w:szCs w:val="32"/>
          <w:lang w:val="it-IT"/>
        </w:rPr>
        <w:t xml:space="preserve"> i comportamenti di ricerca di certezz</w:t>
      </w:r>
      <w:r>
        <w:rPr>
          <w:sz w:val="32"/>
          <w:szCs w:val="32"/>
          <w:lang w:val="it-IT"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7"/>
        <w:gridCol w:w="2851"/>
        <w:gridCol w:w="3072"/>
        <w:gridCol w:w="2707"/>
        <w:gridCol w:w="2930"/>
      </w:tblGrid>
      <w:tr w:rsidR="004D7CB8" w14:paraId="3A740E5B" w14:textId="77777777" w:rsidTr="006E4EB5">
        <w:tc>
          <w:tcPr>
            <w:tcW w:w="2717" w:type="dxa"/>
          </w:tcPr>
          <w:p w14:paraId="23092E84" w14:textId="77777777" w:rsidR="004D7CB8" w:rsidRPr="00AB6B67" w:rsidRDefault="004D7CB8" w:rsidP="006E4EB5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Indica una situazione di incertezza</w:t>
            </w:r>
          </w:p>
          <w:p w14:paraId="324A4450" w14:textId="77777777" w:rsidR="004D7CB8" w:rsidRPr="00AE6045" w:rsidRDefault="004D7CB8" w:rsidP="006E4EB5">
            <w:pPr>
              <w:jc w:val="center"/>
              <w:rPr>
                <w:lang w:val="it-IT"/>
              </w:rPr>
            </w:pPr>
            <w:r w:rsidRPr="00AE6045">
              <w:rPr>
                <w:lang w:val="it-IT"/>
              </w:rPr>
              <w:t>(Qu</w:t>
            </w:r>
            <w:r>
              <w:rPr>
                <w:lang w:val="it-IT"/>
              </w:rPr>
              <w:t>alcosa che non è ancora accaduto</w:t>
            </w:r>
            <w:r w:rsidRPr="00AE6045">
              <w:rPr>
                <w:lang w:val="it-IT"/>
              </w:rPr>
              <w:t>)</w:t>
            </w:r>
          </w:p>
          <w:p w14:paraId="662B7A0A" w14:textId="77777777" w:rsidR="004D7CB8" w:rsidRPr="00BE1C0D" w:rsidRDefault="004D7CB8" w:rsidP="006E4EB5">
            <w:pPr>
              <w:jc w:val="center"/>
              <w:rPr>
                <w:b/>
                <w:bCs/>
                <w:lang w:val="it-IT"/>
              </w:rPr>
            </w:pPr>
            <w:r w:rsidRPr="00AE6045">
              <w:rPr>
                <w:lang w:val="it-IT"/>
              </w:rPr>
              <w:t xml:space="preserve"> </w:t>
            </w:r>
            <w:proofErr w:type="spellStart"/>
            <w:r w:rsidRPr="00D0240A">
              <w:t>Riesci</w:t>
            </w:r>
            <w:proofErr w:type="spellEnd"/>
            <w:r w:rsidRPr="00D0240A">
              <w:t xml:space="preserve"> a </w:t>
            </w:r>
            <w:proofErr w:type="spellStart"/>
            <w:r w:rsidRPr="00D0240A">
              <w:t>focalizzarla</w:t>
            </w:r>
            <w:proofErr w:type="spellEnd"/>
            <w:r w:rsidRPr="00D0240A">
              <w:t>?</w:t>
            </w:r>
          </w:p>
        </w:tc>
        <w:tc>
          <w:tcPr>
            <w:tcW w:w="2851" w:type="dxa"/>
          </w:tcPr>
          <w:p w14:paraId="2CF5CEB1" w14:textId="77777777" w:rsidR="004D7CB8" w:rsidRPr="00C34B9E" w:rsidRDefault="004D7CB8" w:rsidP="006E4EB5">
            <w:pPr>
              <w:jc w:val="center"/>
              <w:rPr>
                <w:b/>
                <w:bCs/>
                <w:lang w:val="it-IT"/>
              </w:rPr>
            </w:pPr>
            <w:r w:rsidRPr="00C34B9E">
              <w:rPr>
                <w:b/>
                <w:bCs/>
                <w:lang w:val="it-IT"/>
              </w:rPr>
              <w:t>Sensazion</w:t>
            </w:r>
            <w:r>
              <w:rPr>
                <w:b/>
                <w:bCs/>
                <w:lang w:val="it-IT"/>
              </w:rPr>
              <w:t>i</w:t>
            </w:r>
          </w:p>
          <w:p w14:paraId="6D0715D8" w14:textId="77777777" w:rsidR="004D7CB8" w:rsidRPr="00C34B9E" w:rsidRDefault="004D7CB8" w:rsidP="006E4EB5">
            <w:pPr>
              <w:jc w:val="center"/>
              <w:rPr>
                <w:lang w:val="it-IT"/>
              </w:rPr>
            </w:pPr>
          </w:p>
          <w:p w14:paraId="43DDEC7D" w14:textId="77777777" w:rsidR="004D7CB8" w:rsidRPr="00762FF2" w:rsidRDefault="004D7CB8" w:rsidP="006E4EB5">
            <w:pPr>
              <w:jc w:val="center"/>
              <w:rPr>
                <w:lang w:val="it-IT"/>
              </w:rPr>
            </w:pPr>
            <w:r w:rsidRPr="00762FF2">
              <w:rPr>
                <w:lang w:val="it-IT"/>
              </w:rPr>
              <w:t>Come ti senti?</w:t>
            </w:r>
          </w:p>
          <w:p w14:paraId="33C65C57" w14:textId="77777777" w:rsidR="004D7CB8" w:rsidRPr="00BE1C0D" w:rsidRDefault="004D7CB8" w:rsidP="006E4EB5">
            <w:pPr>
              <w:jc w:val="center"/>
              <w:rPr>
                <w:b/>
                <w:bCs/>
                <w:lang w:val="it-IT"/>
              </w:rPr>
            </w:pPr>
            <w:r>
              <w:rPr>
                <w:lang w:val="it-IT"/>
              </w:rPr>
              <w:t>In quale parte del corpo</w:t>
            </w:r>
            <w:r w:rsidRPr="00762FF2">
              <w:rPr>
                <w:lang w:val="it-IT"/>
              </w:rPr>
              <w:t>?</w:t>
            </w:r>
          </w:p>
        </w:tc>
        <w:tc>
          <w:tcPr>
            <w:tcW w:w="3072" w:type="dxa"/>
          </w:tcPr>
          <w:p w14:paraId="5BD142C8" w14:textId="77777777" w:rsidR="004D7CB8" w:rsidRPr="00254C83" w:rsidRDefault="004D7CB8" w:rsidP="006E4EB5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Individua</w:t>
            </w:r>
            <w:r w:rsidRPr="00254C83">
              <w:rPr>
                <w:b/>
                <w:bCs/>
                <w:lang w:val="it-IT"/>
              </w:rPr>
              <w:t xml:space="preserve"> i comportamenti</w:t>
            </w:r>
          </w:p>
          <w:p w14:paraId="05FBCFF2" w14:textId="77777777" w:rsidR="004D7CB8" w:rsidRPr="00254C83" w:rsidRDefault="004D7CB8" w:rsidP="006E4EB5">
            <w:pPr>
              <w:jc w:val="center"/>
              <w:rPr>
                <w:b/>
                <w:bCs/>
                <w:lang w:val="it-IT"/>
              </w:rPr>
            </w:pPr>
          </w:p>
          <w:p w14:paraId="28652FDD" w14:textId="77777777" w:rsidR="004D7CB8" w:rsidRPr="00BE1C0D" w:rsidRDefault="004D7CB8" w:rsidP="006E4EB5">
            <w:pPr>
              <w:jc w:val="center"/>
              <w:rPr>
                <w:b/>
                <w:bCs/>
                <w:lang w:val="it-IT"/>
              </w:rPr>
            </w:pPr>
            <w:r>
              <w:rPr>
                <w:lang w:val="it-IT"/>
              </w:rPr>
              <w:t xml:space="preserve">Come </w:t>
            </w:r>
            <w:r w:rsidRPr="00254C83">
              <w:rPr>
                <w:lang w:val="it-IT"/>
              </w:rPr>
              <w:t>hai risposto a questa Incertezza</w:t>
            </w:r>
            <w:r>
              <w:rPr>
                <w:lang w:val="it-IT"/>
              </w:rPr>
              <w:t xml:space="preserve">? </w:t>
            </w:r>
          </w:p>
        </w:tc>
        <w:tc>
          <w:tcPr>
            <w:tcW w:w="2707" w:type="dxa"/>
          </w:tcPr>
          <w:p w14:paraId="4CE9E68F" w14:textId="77777777" w:rsidR="004D7CB8" w:rsidRPr="00913EDD" w:rsidRDefault="004D7CB8" w:rsidP="006E4EB5">
            <w:pPr>
              <w:jc w:val="center"/>
              <w:rPr>
                <w:b/>
                <w:bCs/>
                <w:lang w:val="it-IT"/>
              </w:rPr>
            </w:pPr>
            <w:r w:rsidRPr="00913EDD">
              <w:rPr>
                <w:b/>
                <w:bCs/>
                <w:lang w:val="it-IT"/>
              </w:rPr>
              <w:t xml:space="preserve">È </w:t>
            </w:r>
            <w:proofErr w:type="spellStart"/>
            <w:r w:rsidRPr="008113B1">
              <w:rPr>
                <w:b/>
                <w:bCs/>
                <w:i/>
                <w:lang w:val="it-IT"/>
              </w:rPr>
              <w:t>iper</w:t>
            </w:r>
            <w:proofErr w:type="spellEnd"/>
            <w:r w:rsidRPr="008113B1">
              <w:rPr>
                <w:b/>
                <w:bCs/>
                <w:i/>
                <w:lang w:val="it-IT"/>
              </w:rPr>
              <w:t>-coinvolgimento</w:t>
            </w:r>
            <w:r w:rsidRPr="00913EDD">
              <w:rPr>
                <w:b/>
                <w:bCs/>
                <w:lang w:val="it-IT"/>
              </w:rPr>
              <w:t xml:space="preserve"> o </w:t>
            </w:r>
            <w:r>
              <w:rPr>
                <w:b/>
                <w:bCs/>
                <w:i/>
                <w:lang w:val="it-IT"/>
              </w:rPr>
              <w:t>disimpegno</w:t>
            </w:r>
            <w:r>
              <w:rPr>
                <w:b/>
                <w:bCs/>
                <w:lang w:val="it-IT"/>
              </w:rPr>
              <w:t>?</w:t>
            </w:r>
          </w:p>
        </w:tc>
        <w:tc>
          <w:tcPr>
            <w:tcW w:w="2930" w:type="dxa"/>
          </w:tcPr>
          <w:p w14:paraId="443EDB68" w14:textId="77777777" w:rsidR="004D7CB8" w:rsidRDefault="004D7CB8" w:rsidP="006E4EB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Quali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sono</w:t>
            </w:r>
            <w:proofErr w:type="spellEnd"/>
            <w:r>
              <w:rPr>
                <w:b/>
                <w:bCs/>
              </w:rPr>
              <w:t xml:space="preserve"> le </w:t>
            </w:r>
            <w:proofErr w:type="spellStart"/>
            <w:r>
              <w:rPr>
                <w:b/>
                <w:bCs/>
              </w:rPr>
              <w:t>conseguenze</w:t>
            </w:r>
            <w:proofErr w:type="spellEnd"/>
            <w:r w:rsidRPr="5DAAB372">
              <w:rPr>
                <w:b/>
                <w:bCs/>
              </w:rPr>
              <w:t>?</w:t>
            </w:r>
          </w:p>
        </w:tc>
      </w:tr>
      <w:tr w:rsidR="004D7CB8" w14:paraId="73BAFA8B" w14:textId="77777777" w:rsidTr="006E4EB5">
        <w:tc>
          <w:tcPr>
            <w:tcW w:w="2717" w:type="dxa"/>
          </w:tcPr>
          <w:p w14:paraId="11579047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6746B7C0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1F04374A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7FC9D2FE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7CB0548E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14:paraId="13A8B636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4A62FB60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14:paraId="52526FD6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14:paraId="3F99360A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</w:tr>
      <w:tr w:rsidR="004D7CB8" w14:paraId="1BABAD63" w14:textId="77777777" w:rsidTr="006E4EB5">
        <w:tc>
          <w:tcPr>
            <w:tcW w:w="2717" w:type="dxa"/>
          </w:tcPr>
          <w:p w14:paraId="672A8953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65E32578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56215126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5732EF80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581AF364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14:paraId="1CF820C4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760DC615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14:paraId="09750D64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14:paraId="6A8F6F3F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</w:tr>
      <w:tr w:rsidR="004D7CB8" w14:paraId="28609E4D" w14:textId="77777777" w:rsidTr="006E4EB5">
        <w:tc>
          <w:tcPr>
            <w:tcW w:w="2717" w:type="dxa"/>
          </w:tcPr>
          <w:p w14:paraId="24277F37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1A482910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5D5C1A9C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3175BDAC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0CFA31A6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14:paraId="754F6FB0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37CB099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14:paraId="618F8238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14:paraId="598397BA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</w:tr>
      <w:tr w:rsidR="004D7CB8" w14:paraId="0A336875" w14:textId="77777777" w:rsidTr="006E4EB5">
        <w:tc>
          <w:tcPr>
            <w:tcW w:w="2717" w:type="dxa"/>
          </w:tcPr>
          <w:p w14:paraId="1DA5C0BF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7AE031E1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05E6846C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7772C420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  <w:p w14:paraId="08DAF5DE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14:paraId="5316EB09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3143AA9C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14:paraId="0BF5038F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14:paraId="5196331B" w14:textId="77777777" w:rsidR="004D7CB8" w:rsidRDefault="004D7CB8" w:rsidP="006E4EB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3AF537" w14:textId="77777777" w:rsidR="004D7CB8" w:rsidRDefault="004D7CB8" w:rsidP="004D7CB8">
      <w:pPr>
        <w:rPr>
          <w:color w:val="4472C4" w:themeColor="accent1"/>
          <w:sz w:val="32"/>
          <w:szCs w:val="32"/>
        </w:rPr>
      </w:pPr>
    </w:p>
    <w:sectPr w:rsidR="004D7CB8" w:rsidSect="0086092C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32A5" w14:textId="77777777" w:rsidR="0090389B" w:rsidRDefault="0090389B">
      <w:pPr>
        <w:spacing w:after="0" w:line="240" w:lineRule="auto"/>
      </w:pPr>
      <w:r>
        <w:separator/>
      </w:r>
    </w:p>
  </w:endnote>
  <w:endnote w:type="continuationSeparator" w:id="0">
    <w:p w14:paraId="0F14B185" w14:textId="77777777" w:rsidR="0090389B" w:rsidRDefault="009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99" w:type="dxa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6E010F3" w14:paraId="5D01AE33" w14:textId="77777777" w:rsidTr="00351300">
      <w:tc>
        <w:tcPr>
          <w:tcW w:w="5133" w:type="dxa"/>
        </w:tcPr>
        <w:p w14:paraId="5A699C1E" w14:textId="5A876ABC" w:rsidR="16E010F3" w:rsidRDefault="16E010F3" w:rsidP="16E010F3">
          <w:pPr>
            <w:pStyle w:val="Intestazione"/>
            <w:ind w:left="-115"/>
          </w:pPr>
        </w:p>
      </w:tc>
      <w:tc>
        <w:tcPr>
          <w:tcW w:w="5133" w:type="dxa"/>
        </w:tcPr>
        <w:p w14:paraId="1595D1E6" w14:textId="1665867C" w:rsidR="16E010F3" w:rsidRDefault="16E010F3" w:rsidP="16E010F3">
          <w:pPr>
            <w:pStyle w:val="Intestazione"/>
            <w:jc w:val="center"/>
          </w:pPr>
        </w:p>
      </w:tc>
      <w:tc>
        <w:tcPr>
          <w:tcW w:w="5133" w:type="dxa"/>
        </w:tcPr>
        <w:p w14:paraId="344A9CB1" w14:textId="19F8EBAE" w:rsidR="16E010F3" w:rsidRDefault="16E010F3" w:rsidP="16E010F3">
          <w:pPr>
            <w:pStyle w:val="Intestazione"/>
            <w:ind w:right="-115"/>
            <w:jc w:val="right"/>
          </w:pPr>
        </w:p>
      </w:tc>
    </w:tr>
  </w:tbl>
  <w:p w14:paraId="7B0951E0" w14:textId="02BBF29D" w:rsidR="16E010F3" w:rsidRDefault="00351300" w:rsidP="16E010F3">
    <w:pPr>
      <w:pStyle w:val="Pidipagina"/>
    </w:pPr>
    <w:r w:rsidRPr="16E010F3">
      <w:rPr>
        <w:rFonts w:ascii="Calibri" w:eastAsia="Calibri" w:hAnsi="Calibri" w:cs="Calibri"/>
        <w:sz w:val="18"/>
        <w:szCs w:val="18"/>
      </w:rPr>
      <w:t xml:space="preserve">© </w:t>
    </w:r>
    <w:proofErr w:type="spellStart"/>
    <w:r w:rsidRPr="16E010F3">
      <w:rPr>
        <w:rFonts w:ascii="Calibri" w:eastAsia="Calibri" w:hAnsi="Calibri" w:cs="Calibri"/>
        <w:sz w:val="18"/>
        <w:szCs w:val="18"/>
      </w:rPr>
      <w:t>UNcertainty</w:t>
    </w:r>
    <w:proofErr w:type="spellEnd"/>
    <w:r w:rsidRPr="16E010F3">
      <w:rPr>
        <w:rFonts w:ascii="Calibri" w:eastAsia="Calibri" w:hAnsi="Calibri" w:cs="Calibri"/>
        <w:sz w:val="18"/>
        <w:szCs w:val="18"/>
      </w:rPr>
      <w:t xml:space="preserve"> in </w:t>
    </w:r>
    <w:proofErr w:type="spellStart"/>
    <w:r w:rsidRPr="16E010F3">
      <w:rPr>
        <w:rFonts w:ascii="Calibri" w:eastAsia="Calibri" w:hAnsi="Calibri" w:cs="Calibri"/>
        <w:sz w:val="18"/>
        <w:szCs w:val="18"/>
      </w:rPr>
      <w:t>COronavirus</w:t>
    </w:r>
    <w:proofErr w:type="spellEnd"/>
    <w:r w:rsidRPr="16E010F3">
      <w:rPr>
        <w:rFonts w:ascii="Calibri" w:eastAsia="Calibri" w:hAnsi="Calibri" w:cs="Calibri"/>
        <w:sz w:val="18"/>
        <w:szCs w:val="18"/>
      </w:rPr>
      <w:t xml:space="preserve"> Research Network (</w:t>
    </w:r>
    <w:proofErr w:type="spellStart"/>
    <w:r w:rsidRPr="16E010F3">
      <w:rPr>
        <w:rFonts w:ascii="Calibri" w:eastAsia="Calibri" w:hAnsi="Calibri" w:cs="Calibri"/>
        <w:sz w:val="18"/>
        <w:szCs w:val="18"/>
      </w:rPr>
      <w:t>UNiCORN</w:t>
    </w:r>
    <w:proofErr w:type="spellEnd"/>
    <w:r w:rsidRPr="16E010F3">
      <w:rPr>
        <w:rFonts w:ascii="Calibri" w:eastAsia="Calibri" w:hAnsi="Calibri" w:cs="Calibri"/>
        <w:sz w:val="18"/>
        <w:szCs w:val="18"/>
      </w:rPr>
      <w:t xml:space="preserve">), 2020.  Developed to be used in the management of uncertainty distress.  May be used in clinical practice and supervision.  For all other uses, please contact </w:t>
    </w:r>
    <w:hyperlink r:id="rId1">
      <w:r w:rsidRPr="16E010F3">
        <w:rPr>
          <w:rStyle w:val="Collegamentoipertestuale"/>
          <w:rFonts w:ascii="Calibri" w:eastAsia="Calibri" w:hAnsi="Calibri" w:cs="Calibri"/>
          <w:sz w:val="18"/>
          <w:szCs w:val="18"/>
        </w:rPr>
        <w:t>mark.freeston@newcastle.ac.uk</w:t>
      </w:r>
    </w:hyperlink>
    <w:r w:rsidRPr="16E010F3">
      <w:rPr>
        <w:rFonts w:ascii="Calibri" w:eastAsia="Calibri" w:hAnsi="Calibri" w:cs="Calibri"/>
        <w:sz w:val="18"/>
        <w:szCs w:val="18"/>
      </w:rPr>
      <w:t xml:space="preserve">. Other resources available at: </w:t>
    </w:r>
    <w:hyperlink r:id="rId2">
      <w:r w:rsidRPr="16E010F3">
        <w:rPr>
          <w:rStyle w:val="Collegamentoipertestuale"/>
          <w:rFonts w:ascii="Calibri" w:eastAsia="Calibri" w:hAnsi="Calibri" w:cs="Calibri"/>
          <w:sz w:val="18"/>
          <w:szCs w:val="18"/>
        </w:rPr>
        <w:t>www.covid19an.com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99" w:type="dxa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6E010F3" w14:paraId="0FC27F5B" w14:textId="77777777" w:rsidTr="00351300">
      <w:tc>
        <w:tcPr>
          <w:tcW w:w="5133" w:type="dxa"/>
        </w:tcPr>
        <w:p w14:paraId="1F1D988A" w14:textId="77777777" w:rsidR="16E010F3" w:rsidRDefault="16E010F3" w:rsidP="16E010F3">
          <w:pPr>
            <w:pStyle w:val="Intestazione"/>
            <w:ind w:left="-115"/>
          </w:pPr>
        </w:p>
      </w:tc>
      <w:tc>
        <w:tcPr>
          <w:tcW w:w="5133" w:type="dxa"/>
        </w:tcPr>
        <w:p w14:paraId="4D71AC1E" w14:textId="77777777" w:rsidR="16E010F3" w:rsidRDefault="16E010F3" w:rsidP="16E010F3">
          <w:pPr>
            <w:pStyle w:val="Intestazione"/>
            <w:jc w:val="center"/>
          </w:pPr>
        </w:p>
      </w:tc>
      <w:tc>
        <w:tcPr>
          <w:tcW w:w="5133" w:type="dxa"/>
        </w:tcPr>
        <w:p w14:paraId="1CE4C767" w14:textId="77777777" w:rsidR="16E010F3" w:rsidRDefault="16E010F3" w:rsidP="16E010F3">
          <w:pPr>
            <w:pStyle w:val="Intestazione"/>
            <w:ind w:right="-115"/>
            <w:jc w:val="right"/>
          </w:pPr>
        </w:p>
      </w:tc>
    </w:tr>
  </w:tbl>
  <w:p w14:paraId="339C7DBB" w14:textId="77777777" w:rsidR="16E010F3" w:rsidRDefault="00351300" w:rsidP="16E010F3">
    <w:pPr>
      <w:pStyle w:val="Pidipagina"/>
    </w:pPr>
    <w:r w:rsidRPr="16E010F3">
      <w:rPr>
        <w:rFonts w:ascii="Calibri" w:eastAsia="Calibri" w:hAnsi="Calibri" w:cs="Calibri"/>
        <w:sz w:val="18"/>
        <w:szCs w:val="18"/>
      </w:rPr>
      <w:t xml:space="preserve">© </w:t>
    </w:r>
    <w:proofErr w:type="spellStart"/>
    <w:r w:rsidRPr="16E010F3">
      <w:rPr>
        <w:rFonts w:ascii="Calibri" w:eastAsia="Calibri" w:hAnsi="Calibri" w:cs="Calibri"/>
        <w:sz w:val="18"/>
        <w:szCs w:val="18"/>
      </w:rPr>
      <w:t>UNcertainty</w:t>
    </w:r>
    <w:proofErr w:type="spellEnd"/>
    <w:r w:rsidRPr="16E010F3">
      <w:rPr>
        <w:rFonts w:ascii="Calibri" w:eastAsia="Calibri" w:hAnsi="Calibri" w:cs="Calibri"/>
        <w:sz w:val="18"/>
        <w:szCs w:val="18"/>
      </w:rPr>
      <w:t xml:space="preserve"> in </w:t>
    </w:r>
    <w:proofErr w:type="spellStart"/>
    <w:r w:rsidRPr="16E010F3">
      <w:rPr>
        <w:rFonts w:ascii="Calibri" w:eastAsia="Calibri" w:hAnsi="Calibri" w:cs="Calibri"/>
        <w:sz w:val="18"/>
        <w:szCs w:val="18"/>
      </w:rPr>
      <w:t>COronavirus</w:t>
    </w:r>
    <w:proofErr w:type="spellEnd"/>
    <w:r w:rsidRPr="16E010F3">
      <w:rPr>
        <w:rFonts w:ascii="Calibri" w:eastAsia="Calibri" w:hAnsi="Calibri" w:cs="Calibri"/>
        <w:sz w:val="18"/>
        <w:szCs w:val="18"/>
      </w:rPr>
      <w:t xml:space="preserve"> Research Network (</w:t>
    </w:r>
    <w:proofErr w:type="spellStart"/>
    <w:r w:rsidRPr="16E010F3">
      <w:rPr>
        <w:rFonts w:ascii="Calibri" w:eastAsia="Calibri" w:hAnsi="Calibri" w:cs="Calibri"/>
        <w:sz w:val="18"/>
        <w:szCs w:val="18"/>
      </w:rPr>
      <w:t>UNiCORN</w:t>
    </w:r>
    <w:proofErr w:type="spellEnd"/>
    <w:r w:rsidRPr="16E010F3">
      <w:rPr>
        <w:rFonts w:ascii="Calibri" w:eastAsia="Calibri" w:hAnsi="Calibri" w:cs="Calibri"/>
        <w:sz w:val="18"/>
        <w:szCs w:val="18"/>
      </w:rPr>
      <w:t xml:space="preserve">), 2020.  Developed to be used in the management of uncertainty distress.  May be used in clinical practice and supervision.  For all other uses, please contact </w:t>
    </w:r>
    <w:hyperlink r:id="rId1">
      <w:r w:rsidRPr="16E010F3">
        <w:rPr>
          <w:rStyle w:val="Collegamentoipertestuale"/>
          <w:rFonts w:ascii="Calibri" w:eastAsia="Calibri" w:hAnsi="Calibri" w:cs="Calibri"/>
          <w:sz w:val="18"/>
          <w:szCs w:val="18"/>
        </w:rPr>
        <w:t>mark.freeston@newcastle.ac.uk</w:t>
      </w:r>
    </w:hyperlink>
    <w:r w:rsidRPr="16E010F3">
      <w:rPr>
        <w:rFonts w:ascii="Calibri" w:eastAsia="Calibri" w:hAnsi="Calibri" w:cs="Calibri"/>
        <w:sz w:val="18"/>
        <w:szCs w:val="18"/>
      </w:rPr>
      <w:t xml:space="preserve">. Other resources available at: </w:t>
    </w:r>
    <w:hyperlink r:id="rId2">
      <w:r w:rsidRPr="16E010F3">
        <w:rPr>
          <w:rStyle w:val="Collegamentoipertestuale"/>
          <w:rFonts w:ascii="Calibri" w:eastAsia="Calibri" w:hAnsi="Calibri" w:cs="Calibri"/>
          <w:sz w:val="18"/>
          <w:szCs w:val="18"/>
        </w:rPr>
        <w:t>www.covid19an.com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6FEA" w14:textId="77777777" w:rsidR="0090389B" w:rsidRDefault="0090389B">
      <w:pPr>
        <w:spacing w:after="0" w:line="240" w:lineRule="auto"/>
      </w:pPr>
      <w:r>
        <w:separator/>
      </w:r>
    </w:p>
  </w:footnote>
  <w:footnote w:type="continuationSeparator" w:id="0">
    <w:p w14:paraId="10E5592C" w14:textId="77777777" w:rsidR="0090389B" w:rsidRDefault="009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6E010F3" w14:paraId="0110E30E" w14:textId="77777777" w:rsidTr="6566A0A3">
      <w:tc>
        <w:tcPr>
          <w:tcW w:w="5133" w:type="dxa"/>
        </w:tcPr>
        <w:p w14:paraId="4EEE6652" w14:textId="2E5DFAC3" w:rsidR="16E010F3" w:rsidRDefault="16E010F3" w:rsidP="16E010F3">
          <w:pPr>
            <w:pStyle w:val="Intestazione"/>
            <w:ind w:left="-115"/>
          </w:pPr>
        </w:p>
      </w:tc>
      <w:tc>
        <w:tcPr>
          <w:tcW w:w="5133" w:type="dxa"/>
        </w:tcPr>
        <w:p w14:paraId="50E52178" w14:textId="0F08773B" w:rsidR="16E010F3" w:rsidRDefault="16E010F3" w:rsidP="16E010F3">
          <w:pPr>
            <w:pStyle w:val="Intestazione"/>
            <w:jc w:val="center"/>
          </w:pPr>
        </w:p>
      </w:tc>
      <w:tc>
        <w:tcPr>
          <w:tcW w:w="5133" w:type="dxa"/>
        </w:tcPr>
        <w:p w14:paraId="099DA2B7" w14:textId="52A05A0D" w:rsidR="16E010F3" w:rsidRDefault="16E010F3" w:rsidP="16E010F3">
          <w:pPr>
            <w:pStyle w:val="Intestazione"/>
            <w:ind w:right="-115"/>
            <w:jc w:val="right"/>
          </w:pPr>
        </w:p>
      </w:tc>
    </w:tr>
  </w:tbl>
  <w:p w14:paraId="6DC7C194" w14:textId="4CE8FFA8" w:rsidR="16E010F3" w:rsidRDefault="16E010F3" w:rsidP="16E010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6E010F3" w14:paraId="3CA65981" w14:textId="77777777" w:rsidTr="6566A0A3">
      <w:tc>
        <w:tcPr>
          <w:tcW w:w="5133" w:type="dxa"/>
        </w:tcPr>
        <w:p w14:paraId="3A6589B9" w14:textId="77777777" w:rsidR="16E010F3" w:rsidRDefault="16E010F3" w:rsidP="16E010F3">
          <w:pPr>
            <w:pStyle w:val="Intestazione"/>
            <w:ind w:left="-115"/>
          </w:pPr>
        </w:p>
      </w:tc>
      <w:tc>
        <w:tcPr>
          <w:tcW w:w="5133" w:type="dxa"/>
        </w:tcPr>
        <w:p w14:paraId="64613FEB" w14:textId="77777777" w:rsidR="16E010F3" w:rsidRDefault="16E010F3" w:rsidP="16E010F3">
          <w:pPr>
            <w:pStyle w:val="Intestazione"/>
            <w:jc w:val="center"/>
          </w:pPr>
        </w:p>
      </w:tc>
      <w:tc>
        <w:tcPr>
          <w:tcW w:w="5133" w:type="dxa"/>
        </w:tcPr>
        <w:p w14:paraId="01DDFFAE" w14:textId="77777777" w:rsidR="16E010F3" w:rsidRDefault="16E010F3" w:rsidP="16E010F3">
          <w:pPr>
            <w:pStyle w:val="Intestazione"/>
            <w:ind w:right="-115"/>
            <w:jc w:val="right"/>
          </w:pPr>
        </w:p>
      </w:tc>
    </w:tr>
  </w:tbl>
  <w:p w14:paraId="54C4728C" w14:textId="77777777" w:rsidR="16E010F3" w:rsidRDefault="16E010F3" w:rsidP="16E010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E4C2D"/>
    <w:multiLevelType w:val="hybridMultilevel"/>
    <w:tmpl w:val="4F4C82C6"/>
    <w:lvl w:ilvl="0" w:tplc="778A8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A7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8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05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E9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A3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E7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40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8E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0C"/>
    <w:rsid w:val="000869E1"/>
    <w:rsid w:val="00220994"/>
    <w:rsid w:val="00237B2D"/>
    <w:rsid w:val="00244D78"/>
    <w:rsid w:val="00351300"/>
    <w:rsid w:val="00390697"/>
    <w:rsid w:val="003C3309"/>
    <w:rsid w:val="00431CA0"/>
    <w:rsid w:val="004D7CB8"/>
    <w:rsid w:val="00523E8B"/>
    <w:rsid w:val="00532285"/>
    <w:rsid w:val="00774F20"/>
    <w:rsid w:val="0081100C"/>
    <w:rsid w:val="008639E3"/>
    <w:rsid w:val="008D74E8"/>
    <w:rsid w:val="0090389B"/>
    <w:rsid w:val="00910A4C"/>
    <w:rsid w:val="0094A9EE"/>
    <w:rsid w:val="00A1289F"/>
    <w:rsid w:val="00A252C9"/>
    <w:rsid w:val="00AC2245"/>
    <w:rsid w:val="00AD0593"/>
    <w:rsid w:val="00CD0107"/>
    <w:rsid w:val="00CF0D97"/>
    <w:rsid w:val="00CF13B5"/>
    <w:rsid w:val="00D36746"/>
    <w:rsid w:val="00DE4AC8"/>
    <w:rsid w:val="00E60A0B"/>
    <w:rsid w:val="00F27403"/>
    <w:rsid w:val="00FD4B03"/>
    <w:rsid w:val="01E5FBD6"/>
    <w:rsid w:val="01EE0EEC"/>
    <w:rsid w:val="021ADDD6"/>
    <w:rsid w:val="02465D4B"/>
    <w:rsid w:val="02665628"/>
    <w:rsid w:val="02A7A718"/>
    <w:rsid w:val="02C38CA1"/>
    <w:rsid w:val="02D5936D"/>
    <w:rsid w:val="0389DF4D"/>
    <w:rsid w:val="0420FF6D"/>
    <w:rsid w:val="04F4F386"/>
    <w:rsid w:val="050C8751"/>
    <w:rsid w:val="05121F72"/>
    <w:rsid w:val="061BB868"/>
    <w:rsid w:val="0637FC47"/>
    <w:rsid w:val="0690C3E7"/>
    <w:rsid w:val="071E217A"/>
    <w:rsid w:val="075A895C"/>
    <w:rsid w:val="07AF5BD8"/>
    <w:rsid w:val="082C7D27"/>
    <w:rsid w:val="0835BB05"/>
    <w:rsid w:val="09CD74A8"/>
    <w:rsid w:val="0A3F2286"/>
    <w:rsid w:val="0CE9F263"/>
    <w:rsid w:val="0CEECA94"/>
    <w:rsid w:val="0E32EE6B"/>
    <w:rsid w:val="0E4DFF0A"/>
    <w:rsid w:val="10266B56"/>
    <w:rsid w:val="10540B6E"/>
    <w:rsid w:val="1059E632"/>
    <w:rsid w:val="10645285"/>
    <w:rsid w:val="1145E025"/>
    <w:rsid w:val="1155EEA0"/>
    <w:rsid w:val="11B47DDA"/>
    <w:rsid w:val="133A2E34"/>
    <w:rsid w:val="13470B54"/>
    <w:rsid w:val="13561E92"/>
    <w:rsid w:val="13F34EAF"/>
    <w:rsid w:val="144B549C"/>
    <w:rsid w:val="14C6C503"/>
    <w:rsid w:val="14F9DC79"/>
    <w:rsid w:val="1525E8BE"/>
    <w:rsid w:val="15BD0C17"/>
    <w:rsid w:val="15D77785"/>
    <w:rsid w:val="16290D25"/>
    <w:rsid w:val="16543104"/>
    <w:rsid w:val="168A549F"/>
    <w:rsid w:val="16C34CF2"/>
    <w:rsid w:val="16E010F3"/>
    <w:rsid w:val="17B01F36"/>
    <w:rsid w:val="17D99C87"/>
    <w:rsid w:val="17FCFE69"/>
    <w:rsid w:val="1809F75F"/>
    <w:rsid w:val="18372528"/>
    <w:rsid w:val="185F1D53"/>
    <w:rsid w:val="18B54590"/>
    <w:rsid w:val="18F484F7"/>
    <w:rsid w:val="192A6D43"/>
    <w:rsid w:val="196A29CA"/>
    <w:rsid w:val="1B09B8BC"/>
    <w:rsid w:val="1B1E6469"/>
    <w:rsid w:val="1B96BE15"/>
    <w:rsid w:val="1B9E850B"/>
    <w:rsid w:val="1BE0A2E0"/>
    <w:rsid w:val="1C43B893"/>
    <w:rsid w:val="1CBA9A9A"/>
    <w:rsid w:val="1D04EE5E"/>
    <w:rsid w:val="1D414352"/>
    <w:rsid w:val="1D6731EF"/>
    <w:rsid w:val="1E7087FC"/>
    <w:rsid w:val="1ED17AE7"/>
    <w:rsid w:val="1F112750"/>
    <w:rsid w:val="1F5B1B5B"/>
    <w:rsid w:val="1FBC73EC"/>
    <w:rsid w:val="1FF23B5C"/>
    <w:rsid w:val="204C0B59"/>
    <w:rsid w:val="204C5D45"/>
    <w:rsid w:val="20E5B242"/>
    <w:rsid w:val="20E89145"/>
    <w:rsid w:val="2329DC1E"/>
    <w:rsid w:val="235B0785"/>
    <w:rsid w:val="23742FE2"/>
    <w:rsid w:val="2460DB36"/>
    <w:rsid w:val="248FF83D"/>
    <w:rsid w:val="24982EC6"/>
    <w:rsid w:val="252D1E8B"/>
    <w:rsid w:val="25486F3A"/>
    <w:rsid w:val="257EE39F"/>
    <w:rsid w:val="26901139"/>
    <w:rsid w:val="2692A847"/>
    <w:rsid w:val="269BAE39"/>
    <w:rsid w:val="26AE7AC5"/>
    <w:rsid w:val="26B14075"/>
    <w:rsid w:val="27133BC5"/>
    <w:rsid w:val="27B50158"/>
    <w:rsid w:val="284B27F7"/>
    <w:rsid w:val="28785D2D"/>
    <w:rsid w:val="28957B5C"/>
    <w:rsid w:val="28D64EF4"/>
    <w:rsid w:val="295E17C2"/>
    <w:rsid w:val="295E21B3"/>
    <w:rsid w:val="29AA5D49"/>
    <w:rsid w:val="2AB496F8"/>
    <w:rsid w:val="2B5D4891"/>
    <w:rsid w:val="2B7F41C7"/>
    <w:rsid w:val="2BC16573"/>
    <w:rsid w:val="2BD580B0"/>
    <w:rsid w:val="2DDC8461"/>
    <w:rsid w:val="2E0816EB"/>
    <w:rsid w:val="2E2668E6"/>
    <w:rsid w:val="2E9B9B36"/>
    <w:rsid w:val="2F3A0AD3"/>
    <w:rsid w:val="2F3DB867"/>
    <w:rsid w:val="2FD5ABAA"/>
    <w:rsid w:val="2FDE8CD6"/>
    <w:rsid w:val="30E7406D"/>
    <w:rsid w:val="31024821"/>
    <w:rsid w:val="3138778E"/>
    <w:rsid w:val="336FA3D1"/>
    <w:rsid w:val="33DCF3BF"/>
    <w:rsid w:val="34D985DD"/>
    <w:rsid w:val="3507CA7D"/>
    <w:rsid w:val="351840DE"/>
    <w:rsid w:val="358E39E6"/>
    <w:rsid w:val="359C7300"/>
    <w:rsid w:val="35EA64E6"/>
    <w:rsid w:val="360B4FB5"/>
    <w:rsid w:val="361E230A"/>
    <w:rsid w:val="362E5EBB"/>
    <w:rsid w:val="36317ACB"/>
    <w:rsid w:val="3780512E"/>
    <w:rsid w:val="379C8F04"/>
    <w:rsid w:val="37E7B395"/>
    <w:rsid w:val="383FDA55"/>
    <w:rsid w:val="38AE7DA0"/>
    <w:rsid w:val="3903F4E4"/>
    <w:rsid w:val="3AD42FC6"/>
    <w:rsid w:val="3AE5518E"/>
    <w:rsid w:val="3AEBC391"/>
    <w:rsid w:val="3AFAA520"/>
    <w:rsid w:val="3B3380FD"/>
    <w:rsid w:val="3B44D4F4"/>
    <w:rsid w:val="3BD9A490"/>
    <w:rsid w:val="3BF4D04A"/>
    <w:rsid w:val="3DB7952B"/>
    <w:rsid w:val="3E390A51"/>
    <w:rsid w:val="3E3C8CB0"/>
    <w:rsid w:val="3EC92083"/>
    <w:rsid w:val="3ED5C067"/>
    <w:rsid w:val="3F4815E6"/>
    <w:rsid w:val="3FE79B1F"/>
    <w:rsid w:val="3FFBEA78"/>
    <w:rsid w:val="40AC26DC"/>
    <w:rsid w:val="40FACB05"/>
    <w:rsid w:val="4128131F"/>
    <w:rsid w:val="41B5E3C7"/>
    <w:rsid w:val="4204B345"/>
    <w:rsid w:val="4266C860"/>
    <w:rsid w:val="427BC58A"/>
    <w:rsid w:val="43343EE8"/>
    <w:rsid w:val="437D52DD"/>
    <w:rsid w:val="43866BC6"/>
    <w:rsid w:val="43C20F2E"/>
    <w:rsid w:val="43DC885A"/>
    <w:rsid w:val="44253B24"/>
    <w:rsid w:val="446C7629"/>
    <w:rsid w:val="44726766"/>
    <w:rsid w:val="44742F5D"/>
    <w:rsid w:val="452F113D"/>
    <w:rsid w:val="45889B60"/>
    <w:rsid w:val="459C7517"/>
    <w:rsid w:val="46E96E0A"/>
    <w:rsid w:val="47E8406C"/>
    <w:rsid w:val="480DB135"/>
    <w:rsid w:val="4896082E"/>
    <w:rsid w:val="48F0BF0B"/>
    <w:rsid w:val="48F0C1E7"/>
    <w:rsid w:val="49488166"/>
    <w:rsid w:val="495B5D0F"/>
    <w:rsid w:val="49ED627D"/>
    <w:rsid w:val="49FC9CED"/>
    <w:rsid w:val="4A4C58D6"/>
    <w:rsid w:val="4A59D9ED"/>
    <w:rsid w:val="4A78083B"/>
    <w:rsid w:val="4A9B8105"/>
    <w:rsid w:val="4A9EE67F"/>
    <w:rsid w:val="4C315E01"/>
    <w:rsid w:val="4C51C6BF"/>
    <w:rsid w:val="4C6E334F"/>
    <w:rsid w:val="4CD1799F"/>
    <w:rsid w:val="4D636346"/>
    <w:rsid w:val="4D917AAF"/>
    <w:rsid w:val="4E3E5993"/>
    <w:rsid w:val="4E5BAA6C"/>
    <w:rsid w:val="4F036C86"/>
    <w:rsid w:val="5010897C"/>
    <w:rsid w:val="5082058C"/>
    <w:rsid w:val="52DC3D18"/>
    <w:rsid w:val="53C68A11"/>
    <w:rsid w:val="53CE788D"/>
    <w:rsid w:val="53DDB776"/>
    <w:rsid w:val="5467085D"/>
    <w:rsid w:val="54E6C0BA"/>
    <w:rsid w:val="55785510"/>
    <w:rsid w:val="559E0817"/>
    <w:rsid w:val="56454A46"/>
    <w:rsid w:val="5700C803"/>
    <w:rsid w:val="5706194F"/>
    <w:rsid w:val="57707F4B"/>
    <w:rsid w:val="5777C2EF"/>
    <w:rsid w:val="57B61CA7"/>
    <w:rsid w:val="587C03E2"/>
    <w:rsid w:val="5886A7F2"/>
    <w:rsid w:val="588D56E8"/>
    <w:rsid w:val="58923657"/>
    <w:rsid w:val="58AB5EB4"/>
    <w:rsid w:val="5935951C"/>
    <w:rsid w:val="597496C0"/>
    <w:rsid w:val="597BCBC8"/>
    <w:rsid w:val="59F4B971"/>
    <w:rsid w:val="59F5B299"/>
    <w:rsid w:val="5A22650C"/>
    <w:rsid w:val="5A2E06B8"/>
    <w:rsid w:val="5A472F15"/>
    <w:rsid w:val="5A858811"/>
    <w:rsid w:val="5BA83287"/>
    <w:rsid w:val="5DAAB372"/>
    <w:rsid w:val="5E15A26E"/>
    <w:rsid w:val="5EE29A46"/>
    <w:rsid w:val="5F988F27"/>
    <w:rsid w:val="5FA09C19"/>
    <w:rsid w:val="5FA450C9"/>
    <w:rsid w:val="5FCE8C56"/>
    <w:rsid w:val="5FE6BF13"/>
    <w:rsid w:val="5FF83B44"/>
    <w:rsid w:val="6052BE78"/>
    <w:rsid w:val="609D483C"/>
    <w:rsid w:val="61379AE5"/>
    <w:rsid w:val="619047A4"/>
    <w:rsid w:val="6198CFE3"/>
    <w:rsid w:val="61CDBA06"/>
    <w:rsid w:val="62354FA2"/>
    <w:rsid w:val="625C0BBE"/>
    <w:rsid w:val="62FA4E68"/>
    <w:rsid w:val="63C09B92"/>
    <w:rsid w:val="63CCD7CE"/>
    <w:rsid w:val="63DC9FFB"/>
    <w:rsid w:val="641A90DE"/>
    <w:rsid w:val="643B17D2"/>
    <w:rsid w:val="65189444"/>
    <w:rsid w:val="6566A0A3"/>
    <w:rsid w:val="65F6921F"/>
    <w:rsid w:val="66361436"/>
    <w:rsid w:val="66961774"/>
    <w:rsid w:val="6725B21D"/>
    <w:rsid w:val="678D6883"/>
    <w:rsid w:val="67FF6647"/>
    <w:rsid w:val="68A85A21"/>
    <w:rsid w:val="690B1027"/>
    <w:rsid w:val="694DB26B"/>
    <w:rsid w:val="6A955456"/>
    <w:rsid w:val="6AF10FFD"/>
    <w:rsid w:val="6BB9804D"/>
    <w:rsid w:val="6BDFFAE3"/>
    <w:rsid w:val="6CBA9579"/>
    <w:rsid w:val="6D587105"/>
    <w:rsid w:val="6DAD3B31"/>
    <w:rsid w:val="6E86F7CD"/>
    <w:rsid w:val="6EA492F2"/>
    <w:rsid w:val="6EB2A10C"/>
    <w:rsid w:val="6F664B26"/>
    <w:rsid w:val="6FB7682E"/>
    <w:rsid w:val="70604A13"/>
    <w:rsid w:val="707DB11C"/>
    <w:rsid w:val="71140484"/>
    <w:rsid w:val="71202D8C"/>
    <w:rsid w:val="71298E08"/>
    <w:rsid w:val="7159E464"/>
    <w:rsid w:val="72011B9C"/>
    <w:rsid w:val="725D62EF"/>
    <w:rsid w:val="72C2F757"/>
    <w:rsid w:val="72CFBC45"/>
    <w:rsid w:val="7304B9C8"/>
    <w:rsid w:val="731EF9AC"/>
    <w:rsid w:val="7330A6EB"/>
    <w:rsid w:val="737783CD"/>
    <w:rsid w:val="73A0B904"/>
    <w:rsid w:val="73E2C6B4"/>
    <w:rsid w:val="74CAE02F"/>
    <w:rsid w:val="75078E9C"/>
    <w:rsid w:val="757EE99D"/>
    <w:rsid w:val="75EABF00"/>
    <w:rsid w:val="75ED7EA0"/>
    <w:rsid w:val="766177BF"/>
    <w:rsid w:val="7678F283"/>
    <w:rsid w:val="77E77F8D"/>
    <w:rsid w:val="780EC1EB"/>
    <w:rsid w:val="784A9653"/>
    <w:rsid w:val="7867B200"/>
    <w:rsid w:val="7892B068"/>
    <w:rsid w:val="78D3911E"/>
    <w:rsid w:val="78EBEC2D"/>
    <w:rsid w:val="78EF3A13"/>
    <w:rsid w:val="793F2EAC"/>
    <w:rsid w:val="79F24134"/>
    <w:rsid w:val="7A23BC73"/>
    <w:rsid w:val="7A3020B7"/>
    <w:rsid w:val="7A3E8EE1"/>
    <w:rsid w:val="7A6F8D18"/>
    <w:rsid w:val="7A8FDBEA"/>
    <w:rsid w:val="7B32FB2A"/>
    <w:rsid w:val="7B7B4662"/>
    <w:rsid w:val="7BADD0C1"/>
    <w:rsid w:val="7CF32F2A"/>
    <w:rsid w:val="7DE6F095"/>
    <w:rsid w:val="7E4676A3"/>
    <w:rsid w:val="7E9D45CC"/>
    <w:rsid w:val="7ECC9156"/>
    <w:rsid w:val="7F2DBF6F"/>
    <w:rsid w:val="7FA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D23A"/>
  <w15:chartTrackingRefBased/>
  <w15:docId w15:val="{B8D01B3D-71C2-463C-8C02-69CA8533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3309"/>
    <w:rPr>
      <w:color w:val="0563C1" w:themeColor="hyperlink"/>
      <w:u w:val="single"/>
    </w:rPr>
  </w:style>
  <w:style w:type="paragraph" w:customStyle="1" w:styleId="Default">
    <w:name w:val="Default"/>
    <w:rsid w:val="003C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0A0B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vid19an.com/" TargetMode="External"/><Relationship Id="rId1" Type="http://schemas.openxmlformats.org/officeDocument/2006/relationships/hyperlink" Target="mailto:mark.freeston@newcastle.ac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vid19an.com/" TargetMode="External"/><Relationship Id="rId1" Type="http://schemas.openxmlformats.org/officeDocument/2006/relationships/hyperlink" Target="mailto:mark.freeston@newcas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C7168665BE6241BAAA64A9C1B96148" ma:contentTypeVersion="11" ma:contentTypeDescription="Creare un nuovo documento." ma:contentTypeScope="" ma:versionID="93eebdb4dd369c5ba9a60343f0867387">
  <xsd:schema xmlns:xsd="http://www.w3.org/2001/XMLSchema" xmlns:xs="http://www.w3.org/2001/XMLSchema" xmlns:p="http://schemas.microsoft.com/office/2006/metadata/properties" xmlns:ns2="6b6a400f-54db-42ae-813e-29c8da04758c" xmlns:ns3="31c2d729-496c-4861-aa0f-b4dfc7ee66cd" targetNamespace="http://schemas.microsoft.com/office/2006/metadata/properties" ma:root="true" ma:fieldsID="f5ce9ea47a2fcf7fc36545704d57b44a" ns2:_="" ns3:_="">
    <xsd:import namespace="6b6a400f-54db-42ae-813e-29c8da04758c"/>
    <xsd:import namespace="31c2d729-496c-4861-aa0f-b4dfc7ee6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d729-496c-4861-aa0f-b4dfc7ee6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CF650-E8DB-47BC-B39E-031864E17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B9207-F977-4629-A195-D4D60F5EC5E8}"/>
</file>

<file path=customXml/itemProps3.xml><?xml version="1.0" encoding="utf-8"?>
<ds:datastoreItem xmlns:ds="http://schemas.openxmlformats.org/officeDocument/2006/customXml" ds:itemID="{BEEE9859-F51B-4CAB-ABEB-1D3C80EC4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Mofrad</dc:creator>
  <cp:keywords/>
  <dc:description/>
  <cp:lastModifiedBy>EC</cp:lastModifiedBy>
  <cp:revision>3</cp:revision>
  <dcterms:created xsi:type="dcterms:W3CDTF">2020-12-20T16:00:00Z</dcterms:created>
  <dcterms:modified xsi:type="dcterms:W3CDTF">2020-12-21T21:51:00Z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0x01010064C7168665BE6241BAAA64A9C1B96148</vt:lpwstr>
  </property>
</Properties>
</file>